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E9B" w:rsidRPr="00450C13" w:rsidRDefault="005F6E9B" w:rsidP="004348E5">
      <w:pPr>
        <w:jc w:val="center"/>
        <w:rPr>
          <w:rFonts w:ascii="华文中宋" w:eastAsia="华文中宋" w:hAnsi="华文中宋"/>
          <w:b/>
          <w:bCs/>
          <w:color w:val="000000"/>
          <w:sz w:val="32"/>
          <w:szCs w:val="32"/>
        </w:rPr>
      </w:pPr>
      <w:r w:rsidRPr="00450C13">
        <w:rPr>
          <w:rFonts w:ascii="华文中宋" w:eastAsia="华文中宋" w:hAnsi="华文中宋" w:cs="华文中宋" w:hint="eastAsia"/>
          <w:b/>
          <w:bCs/>
          <w:color w:val="000000"/>
          <w:sz w:val="32"/>
          <w:szCs w:val="32"/>
        </w:rPr>
        <w:t>浙江财经大学博士后合作导师管理规定</w:t>
      </w:r>
    </w:p>
    <w:p w:rsidR="005F6E9B" w:rsidRDefault="005F6E9B" w:rsidP="00875BC3">
      <w:pPr>
        <w:spacing w:line="360" w:lineRule="auto"/>
        <w:rPr>
          <w:color w:val="000000"/>
        </w:rPr>
      </w:pPr>
    </w:p>
    <w:p w:rsidR="005F6E9B" w:rsidRDefault="005F6E9B" w:rsidP="0056659F">
      <w:pPr>
        <w:spacing w:line="360" w:lineRule="auto"/>
        <w:ind w:firstLineChars="200" w:firstLine="562"/>
        <w:rPr>
          <w:rFonts w:ascii="仿宋_GB2312" w:eastAsia="仿宋_GB2312" w:hAnsi="宋体"/>
          <w:b/>
          <w:bCs/>
          <w:color w:val="000000"/>
          <w:sz w:val="28"/>
          <w:szCs w:val="28"/>
        </w:rPr>
      </w:pPr>
      <w:r w:rsidRPr="00022C4E">
        <w:rPr>
          <w:rFonts w:ascii="仿宋_GB2312" w:eastAsia="仿宋_GB2312" w:hAnsi="宋体" w:cs="仿宋_GB2312" w:hint="eastAsia"/>
          <w:b/>
          <w:bCs/>
          <w:color w:val="000000"/>
          <w:sz w:val="28"/>
          <w:szCs w:val="28"/>
        </w:rPr>
        <w:t>一、博士后合作导师的申请条件</w:t>
      </w:r>
    </w:p>
    <w:p w:rsidR="005F6E9B" w:rsidRDefault="005F6E9B" w:rsidP="0056659F">
      <w:pPr>
        <w:spacing w:line="360" w:lineRule="auto"/>
        <w:ind w:firstLineChars="200" w:firstLine="560"/>
        <w:rPr>
          <w:rFonts w:ascii="仿宋_GB2312" w:eastAsia="仿宋_GB2312" w:hAnsi="宋体"/>
          <w:b/>
          <w:bCs/>
          <w:color w:val="000000"/>
          <w:sz w:val="28"/>
          <w:szCs w:val="28"/>
        </w:rPr>
      </w:pPr>
      <w:r w:rsidRPr="00A65282">
        <w:rPr>
          <w:rFonts w:ascii="仿宋_GB2312" w:eastAsia="仿宋_GB2312" w:hAnsi="宋体" w:cs="仿宋_GB2312" w:hint="eastAsia"/>
          <w:color w:val="000000"/>
          <w:sz w:val="28"/>
          <w:szCs w:val="28"/>
        </w:rPr>
        <w:t>具备博士生招收资格且能指导</w:t>
      </w:r>
      <w:r>
        <w:rPr>
          <w:rFonts w:ascii="仿宋_GB2312" w:eastAsia="仿宋_GB2312" w:hAnsi="宋体" w:cs="仿宋_GB2312" w:hint="eastAsia"/>
          <w:color w:val="000000"/>
          <w:sz w:val="28"/>
          <w:szCs w:val="28"/>
        </w:rPr>
        <w:t>博士后从事</w:t>
      </w:r>
      <w:r w:rsidRPr="00A65282">
        <w:rPr>
          <w:rFonts w:ascii="仿宋_GB2312" w:eastAsia="仿宋_GB2312" w:hAnsi="宋体" w:cs="仿宋_GB2312" w:hint="eastAsia"/>
          <w:color w:val="000000"/>
          <w:sz w:val="28"/>
          <w:szCs w:val="28"/>
        </w:rPr>
        <w:t>应用经济学研究</w:t>
      </w:r>
      <w:r>
        <w:rPr>
          <w:rFonts w:ascii="仿宋_GB2312" w:eastAsia="仿宋_GB2312" w:hAnsi="宋体" w:cs="仿宋_GB2312" w:hint="eastAsia"/>
          <w:color w:val="000000"/>
          <w:sz w:val="28"/>
          <w:szCs w:val="28"/>
        </w:rPr>
        <w:t>的</w:t>
      </w:r>
      <w:r w:rsidRPr="00A65282">
        <w:rPr>
          <w:rFonts w:ascii="仿宋_GB2312" w:eastAsia="仿宋_GB2312" w:hAnsi="宋体" w:cs="仿宋_GB2312" w:hint="eastAsia"/>
          <w:color w:val="000000"/>
          <w:sz w:val="28"/>
          <w:szCs w:val="28"/>
        </w:rPr>
        <w:t>博士生导师</w:t>
      </w:r>
      <w:r>
        <w:rPr>
          <w:rFonts w:ascii="仿宋_GB2312" w:eastAsia="仿宋_GB2312" w:hAnsi="宋体" w:cs="仿宋_GB2312"/>
          <w:color w:val="000000"/>
          <w:sz w:val="28"/>
          <w:szCs w:val="28"/>
        </w:rPr>
        <w:t>,</w:t>
      </w:r>
      <w:r w:rsidRPr="00A65282">
        <w:rPr>
          <w:rFonts w:ascii="仿宋_GB2312" w:eastAsia="仿宋_GB2312" w:hAnsi="宋体" w:cs="仿宋_GB2312" w:hint="eastAsia"/>
          <w:color w:val="000000"/>
          <w:sz w:val="28"/>
          <w:szCs w:val="28"/>
        </w:rPr>
        <w:t>可</w:t>
      </w:r>
      <w:r>
        <w:rPr>
          <w:rFonts w:ascii="仿宋_GB2312" w:eastAsia="仿宋_GB2312" w:hAnsi="宋体" w:cs="仿宋_GB2312" w:hint="eastAsia"/>
          <w:color w:val="000000"/>
          <w:sz w:val="28"/>
          <w:szCs w:val="28"/>
        </w:rPr>
        <w:t>经学校审批后</w:t>
      </w:r>
      <w:r w:rsidRPr="00A65282">
        <w:rPr>
          <w:rFonts w:ascii="仿宋_GB2312" w:eastAsia="仿宋_GB2312" w:hAnsi="宋体" w:cs="仿宋_GB2312" w:hint="eastAsia"/>
          <w:color w:val="000000"/>
          <w:sz w:val="28"/>
          <w:szCs w:val="28"/>
        </w:rPr>
        <w:t>依托我校博士后建站学科招收博士后</w:t>
      </w:r>
      <w:r>
        <w:rPr>
          <w:rFonts w:ascii="仿宋_GB2312" w:eastAsia="仿宋_GB2312" w:hAnsi="仿宋_GB2312" w:cs="仿宋_GB2312" w:hint="eastAsia"/>
          <w:kern w:val="0"/>
          <w:sz w:val="28"/>
          <w:szCs w:val="28"/>
        </w:rPr>
        <w:t>。</w:t>
      </w:r>
    </w:p>
    <w:p w:rsidR="005F6E9B" w:rsidRDefault="005F6E9B" w:rsidP="0056659F">
      <w:pPr>
        <w:spacing w:line="360" w:lineRule="auto"/>
        <w:ind w:firstLineChars="200" w:firstLine="562"/>
        <w:rPr>
          <w:rFonts w:ascii="仿宋_GB2312" w:eastAsia="仿宋_GB2312" w:hAnsi="宋体"/>
          <w:b/>
          <w:bCs/>
          <w:color w:val="000000"/>
          <w:sz w:val="28"/>
          <w:szCs w:val="28"/>
        </w:rPr>
      </w:pPr>
      <w:r w:rsidRPr="00022C4E">
        <w:rPr>
          <w:rFonts w:ascii="仿宋_GB2312" w:eastAsia="仿宋_GB2312" w:hAnsi="宋体" w:cs="仿宋_GB2312" w:hint="eastAsia"/>
          <w:b/>
          <w:bCs/>
          <w:color w:val="000000"/>
          <w:sz w:val="28"/>
          <w:szCs w:val="28"/>
        </w:rPr>
        <w:t>二、博士后合作导师的工作要求</w:t>
      </w:r>
    </w:p>
    <w:p w:rsidR="005F6E9B" w:rsidRPr="00875BC3" w:rsidRDefault="005F6E9B" w:rsidP="0056659F">
      <w:pPr>
        <w:spacing w:line="360" w:lineRule="auto"/>
        <w:ind w:firstLineChars="200" w:firstLine="560"/>
        <w:rPr>
          <w:rFonts w:ascii="仿宋_GB2312" w:eastAsia="仿宋_GB2312" w:hAnsi="宋体"/>
          <w:b/>
          <w:bCs/>
          <w:color w:val="000000"/>
          <w:sz w:val="28"/>
          <w:szCs w:val="28"/>
        </w:rPr>
      </w:pPr>
      <w:r w:rsidRPr="00A65282">
        <w:rPr>
          <w:rFonts w:ascii="仿宋_GB2312" w:eastAsia="仿宋_GB2312" w:hAnsi="宋体" w:cs="仿宋_GB2312" w:hint="eastAsia"/>
          <w:color w:val="000000"/>
          <w:sz w:val="28"/>
          <w:szCs w:val="28"/>
        </w:rPr>
        <w:t>（一）严格审查博士后申请人的资质和科研潜力，协助安排申请人参加进站等事宜；</w:t>
      </w:r>
    </w:p>
    <w:p w:rsidR="005F6E9B" w:rsidRDefault="005F6E9B" w:rsidP="0056659F">
      <w:pPr>
        <w:widowControl/>
        <w:adjustRightInd w:val="0"/>
        <w:snapToGrid w:val="0"/>
        <w:spacing w:line="360" w:lineRule="auto"/>
        <w:ind w:firstLineChars="200" w:firstLine="560"/>
        <w:rPr>
          <w:rFonts w:ascii="仿宋_GB2312" w:eastAsia="仿宋_GB2312" w:hAnsi="宋体"/>
          <w:color w:val="000000"/>
          <w:sz w:val="28"/>
          <w:szCs w:val="28"/>
        </w:rPr>
      </w:pPr>
      <w:r w:rsidRPr="00A65282">
        <w:rPr>
          <w:rFonts w:ascii="仿宋_GB2312" w:eastAsia="仿宋_GB2312" w:hAnsi="宋体" w:cs="仿宋_GB2312" w:hint="eastAsia"/>
          <w:color w:val="000000"/>
          <w:sz w:val="28"/>
          <w:szCs w:val="28"/>
        </w:rPr>
        <w:t>（二）博士后进站报到后，指导博士后拟定工作目标和研究计划，</w:t>
      </w:r>
      <w:r>
        <w:rPr>
          <w:rFonts w:ascii="仿宋_GB2312" w:eastAsia="仿宋_GB2312" w:hAnsi="宋体" w:cs="仿宋_GB2312"/>
          <w:color w:val="000000"/>
          <w:sz w:val="28"/>
          <w:szCs w:val="28"/>
        </w:rPr>
        <w:t>3</w:t>
      </w:r>
      <w:r w:rsidRPr="00A65282">
        <w:rPr>
          <w:rFonts w:ascii="仿宋_GB2312" w:eastAsia="仿宋_GB2312" w:hAnsi="宋体" w:cs="仿宋_GB2312" w:hint="eastAsia"/>
          <w:color w:val="000000"/>
          <w:sz w:val="28"/>
          <w:szCs w:val="28"/>
        </w:rPr>
        <w:t>个月内完成开题报告；</w:t>
      </w:r>
    </w:p>
    <w:p w:rsidR="005F6E9B" w:rsidRDefault="005F6E9B" w:rsidP="0056659F">
      <w:pPr>
        <w:widowControl/>
        <w:adjustRightInd w:val="0"/>
        <w:snapToGrid w:val="0"/>
        <w:spacing w:line="360" w:lineRule="auto"/>
        <w:ind w:firstLineChars="200" w:firstLine="560"/>
        <w:rPr>
          <w:rFonts w:ascii="仿宋_GB2312" w:eastAsia="仿宋_GB2312" w:hAnsi="宋体"/>
          <w:color w:val="000000"/>
          <w:sz w:val="28"/>
          <w:szCs w:val="28"/>
        </w:rPr>
      </w:pPr>
      <w:r w:rsidRPr="00A65282">
        <w:rPr>
          <w:rFonts w:ascii="仿宋_GB2312" w:eastAsia="仿宋_GB2312" w:hAnsi="宋体" w:cs="仿宋_GB2312" w:hint="eastAsia"/>
          <w:color w:val="000000"/>
          <w:sz w:val="28"/>
          <w:szCs w:val="28"/>
        </w:rPr>
        <w:t>（三）指导博士后按计划开展研究工作、申报各类科研项目；</w:t>
      </w:r>
    </w:p>
    <w:p w:rsidR="005F6E9B" w:rsidRDefault="005F6E9B" w:rsidP="0056659F">
      <w:pPr>
        <w:widowControl/>
        <w:adjustRightInd w:val="0"/>
        <w:snapToGrid w:val="0"/>
        <w:spacing w:line="360" w:lineRule="auto"/>
        <w:ind w:firstLineChars="200" w:firstLine="560"/>
        <w:rPr>
          <w:rFonts w:ascii="仿宋_GB2312" w:eastAsia="仿宋_GB2312" w:hAnsi="宋体"/>
          <w:color w:val="000000"/>
          <w:sz w:val="28"/>
          <w:szCs w:val="28"/>
        </w:rPr>
      </w:pPr>
      <w:r w:rsidRPr="00A65282">
        <w:rPr>
          <w:rFonts w:ascii="仿宋_GB2312" w:eastAsia="仿宋_GB2312" w:hAnsi="宋体" w:cs="仿宋_GB2312" w:hint="eastAsia"/>
          <w:color w:val="000000"/>
          <w:sz w:val="28"/>
          <w:szCs w:val="28"/>
        </w:rPr>
        <w:t>（四）督促博士后按时参加中期考核和出站考核，促使博士后按期出站；</w:t>
      </w:r>
    </w:p>
    <w:p w:rsidR="005F6E9B" w:rsidRDefault="005F6E9B" w:rsidP="0056659F">
      <w:pPr>
        <w:widowControl/>
        <w:adjustRightInd w:val="0"/>
        <w:snapToGrid w:val="0"/>
        <w:spacing w:line="360" w:lineRule="auto"/>
        <w:ind w:firstLineChars="200" w:firstLine="560"/>
        <w:rPr>
          <w:rFonts w:ascii="仿宋_GB2312" w:eastAsia="仿宋_GB2312" w:hAnsi="宋体"/>
          <w:color w:val="000000"/>
          <w:sz w:val="28"/>
          <w:szCs w:val="28"/>
        </w:rPr>
      </w:pPr>
      <w:r w:rsidRPr="00A65282">
        <w:rPr>
          <w:rFonts w:ascii="仿宋_GB2312" w:eastAsia="仿宋_GB2312" w:hAnsi="宋体" w:cs="仿宋_GB2312" w:hint="eastAsia"/>
          <w:color w:val="000000"/>
          <w:sz w:val="28"/>
          <w:szCs w:val="28"/>
        </w:rPr>
        <w:t>（五）服从学校和博士后科研流动站的工作安排，参与学校有关博士后科研流动站建设；</w:t>
      </w:r>
    </w:p>
    <w:p w:rsidR="005F6E9B" w:rsidRDefault="005F6E9B" w:rsidP="0056659F">
      <w:pPr>
        <w:widowControl/>
        <w:adjustRightInd w:val="0"/>
        <w:snapToGrid w:val="0"/>
        <w:spacing w:line="360" w:lineRule="auto"/>
        <w:ind w:firstLineChars="200" w:firstLine="560"/>
        <w:rPr>
          <w:rFonts w:ascii="仿宋_GB2312" w:eastAsia="仿宋_GB2312" w:hAnsi="宋体"/>
          <w:color w:val="000000"/>
          <w:sz w:val="28"/>
          <w:szCs w:val="28"/>
        </w:rPr>
      </w:pPr>
      <w:r w:rsidRPr="00A65282">
        <w:rPr>
          <w:rFonts w:ascii="仿宋_GB2312" w:eastAsia="仿宋_GB2312" w:hAnsi="宋体" w:cs="仿宋_GB2312" w:hint="eastAsia"/>
          <w:color w:val="000000"/>
          <w:sz w:val="28"/>
          <w:szCs w:val="28"/>
        </w:rPr>
        <w:t>（六）保证博士后培养质量，一位合作导师每年度招收的博士后一般不超过</w:t>
      </w:r>
      <w:r w:rsidRPr="00A65282">
        <w:rPr>
          <w:rFonts w:ascii="仿宋_GB2312" w:eastAsia="仿宋_GB2312" w:hAnsi="宋体" w:cs="仿宋_GB2312"/>
          <w:color w:val="000000"/>
          <w:sz w:val="28"/>
          <w:szCs w:val="28"/>
        </w:rPr>
        <w:t>2</w:t>
      </w:r>
      <w:r w:rsidRPr="00A65282">
        <w:rPr>
          <w:rFonts w:ascii="仿宋_GB2312" w:eastAsia="仿宋_GB2312" w:hAnsi="宋体" w:cs="仿宋_GB2312" w:hint="eastAsia"/>
          <w:color w:val="000000"/>
          <w:sz w:val="28"/>
          <w:szCs w:val="28"/>
        </w:rPr>
        <w:t>名。</w:t>
      </w:r>
    </w:p>
    <w:p w:rsidR="005F6E9B" w:rsidRPr="00875BC3" w:rsidRDefault="005F6E9B" w:rsidP="0056659F">
      <w:pPr>
        <w:widowControl/>
        <w:adjustRightInd w:val="0"/>
        <w:snapToGrid w:val="0"/>
        <w:spacing w:line="360" w:lineRule="auto"/>
        <w:ind w:firstLineChars="200" w:firstLine="562"/>
        <w:rPr>
          <w:rFonts w:ascii="仿宋_GB2312" w:eastAsia="仿宋_GB2312" w:hAnsi="宋体"/>
          <w:color w:val="000000"/>
          <w:sz w:val="28"/>
          <w:szCs w:val="28"/>
        </w:rPr>
      </w:pPr>
      <w:r w:rsidRPr="00022C4E">
        <w:rPr>
          <w:rFonts w:ascii="仿宋_GB2312" w:eastAsia="仿宋_GB2312" w:hAnsi="宋体" w:cs="仿宋_GB2312" w:hint="eastAsia"/>
          <w:b/>
          <w:bCs/>
          <w:color w:val="000000"/>
          <w:sz w:val="28"/>
          <w:szCs w:val="28"/>
        </w:rPr>
        <w:t>三、博士后合作导师的考核及结果处理</w:t>
      </w:r>
    </w:p>
    <w:p w:rsidR="005F6E9B" w:rsidRPr="00875BC3" w:rsidRDefault="005F6E9B" w:rsidP="0056659F">
      <w:pPr>
        <w:spacing w:line="360" w:lineRule="auto"/>
        <w:ind w:firstLineChars="196" w:firstLine="549"/>
        <w:rPr>
          <w:rFonts w:ascii="仿宋_GB2312" w:eastAsia="仿宋_GB2312" w:hAnsi="宋体"/>
          <w:b/>
          <w:bCs/>
          <w:color w:val="000000"/>
          <w:sz w:val="28"/>
          <w:szCs w:val="28"/>
        </w:rPr>
      </w:pPr>
      <w:r w:rsidRPr="00A65282">
        <w:rPr>
          <w:rFonts w:ascii="仿宋_GB2312" w:eastAsia="仿宋_GB2312" w:hAnsi="宋体" w:cs="仿宋_GB2312" w:hint="eastAsia"/>
          <w:color w:val="000000"/>
          <w:sz w:val="28"/>
          <w:szCs w:val="28"/>
        </w:rPr>
        <w:t>（一）博士后合作导师的考核依据为合作博士后研究人员的考核情况；</w:t>
      </w:r>
    </w:p>
    <w:p w:rsidR="005F6E9B" w:rsidRDefault="005F6E9B" w:rsidP="0056659F">
      <w:pPr>
        <w:spacing w:line="360" w:lineRule="auto"/>
        <w:ind w:firstLineChars="200" w:firstLine="560"/>
        <w:rPr>
          <w:rFonts w:ascii="仿宋_GB2312" w:eastAsia="仿宋_GB2312" w:hAnsi="宋体"/>
          <w:color w:val="000000"/>
          <w:sz w:val="28"/>
          <w:szCs w:val="28"/>
        </w:rPr>
      </w:pPr>
      <w:r w:rsidRPr="00A65282">
        <w:rPr>
          <w:rFonts w:ascii="仿宋_GB2312" w:eastAsia="仿宋_GB2312" w:hAnsi="宋体" w:cs="仿宋_GB2312" w:hint="eastAsia"/>
          <w:color w:val="000000"/>
          <w:sz w:val="28"/>
          <w:szCs w:val="28"/>
        </w:rPr>
        <w:t>（二）</w:t>
      </w:r>
      <w:r>
        <w:rPr>
          <w:rFonts w:ascii="仿宋_GB2312" w:eastAsia="仿宋_GB2312" w:hAnsi="宋体" w:cs="仿宋_GB2312" w:hint="eastAsia"/>
          <w:color w:val="000000"/>
          <w:sz w:val="28"/>
          <w:szCs w:val="28"/>
        </w:rPr>
        <w:t>博士后研究人员</w:t>
      </w:r>
      <w:r w:rsidRPr="00A65282">
        <w:rPr>
          <w:rFonts w:ascii="仿宋_GB2312" w:eastAsia="仿宋_GB2312" w:hAnsi="宋体" w:cs="仿宋_GB2312" w:hint="eastAsia"/>
          <w:color w:val="000000"/>
          <w:sz w:val="28"/>
          <w:szCs w:val="28"/>
        </w:rPr>
        <w:t>出站考核合格的，奖励合作导师每人</w:t>
      </w:r>
      <w:r w:rsidRPr="00A65282">
        <w:rPr>
          <w:rFonts w:ascii="仿宋_GB2312" w:eastAsia="仿宋_GB2312" w:hAnsi="宋体" w:cs="仿宋_GB2312"/>
          <w:color w:val="000000"/>
          <w:sz w:val="28"/>
          <w:szCs w:val="28"/>
        </w:rPr>
        <w:t>1</w:t>
      </w:r>
      <w:r w:rsidRPr="00A65282">
        <w:rPr>
          <w:rFonts w:ascii="仿宋_GB2312" w:eastAsia="仿宋_GB2312" w:hAnsi="宋体" w:cs="仿宋_GB2312" w:hint="eastAsia"/>
          <w:color w:val="000000"/>
          <w:sz w:val="28"/>
          <w:szCs w:val="28"/>
        </w:rPr>
        <w:t>万元科研经费；</w:t>
      </w:r>
      <w:r>
        <w:rPr>
          <w:rFonts w:ascii="仿宋_GB2312" w:eastAsia="仿宋_GB2312" w:hAnsi="宋体" w:cs="仿宋_GB2312" w:hint="eastAsia"/>
          <w:color w:val="000000"/>
          <w:sz w:val="28"/>
          <w:szCs w:val="28"/>
        </w:rPr>
        <w:t>博士后研究人员</w:t>
      </w:r>
      <w:r w:rsidRPr="00A65282">
        <w:rPr>
          <w:rFonts w:ascii="仿宋_GB2312" w:eastAsia="仿宋_GB2312" w:hAnsi="宋体" w:cs="仿宋_GB2312" w:hint="eastAsia"/>
          <w:color w:val="000000"/>
          <w:sz w:val="28"/>
          <w:szCs w:val="28"/>
        </w:rPr>
        <w:t>出站考核优秀的，奖励合作导师每人</w:t>
      </w:r>
      <w:r w:rsidRPr="00A65282">
        <w:rPr>
          <w:rFonts w:ascii="仿宋_GB2312" w:eastAsia="仿宋_GB2312" w:hAnsi="宋体" w:cs="仿宋_GB2312"/>
          <w:color w:val="000000"/>
          <w:sz w:val="28"/>
          <w:szCs w:val="28"/>
        </w:rPr>
        <w:t>3</w:t>
      </w:r>
      <w:r w:rsidRPr="00A65282">
        <w:rPr>
          <w:rFonts w:ascii="仿宋_GB2312" w:eastAsia="仿宋_GB2312" w:hAnsi="宋体" w:cs="仿宋_GB2312" w:hint="eastAsia"/>
          <w:color w:val="000000"/>
          <w:sz w:val="28"/>
          <w:szCs w:val="28"/>
        </w:rPr>
        <w:t>万元科研经费；非师资博士后</w:t>
      </w:r>
      <w:r>
        <w:rPr>
          <w:rFonts w:ascii="仿宋_GB2312" w:eastAsia="仿宋_GB2312" w:hAnsi="宋体" w:cs="仿宋_GB2312" w:hint="eastAsia"/>
          <w:color w:val="000000"/>
          <w:sz w:val="28"/>
          <w:szCs w:val="28"/>
        </w:rPr>
        <w:t>研究人员</w:t>
      </w:r>
      <w:r w:rsidRPr="00A65282">
        <w:rPr>
          <w:rFonts w:ascii="仿宋_GB2312" w:eastAsia="仿宋_GB2312" w:hAnsi="宋体" w:cs="仿宋_GB2312" w:hint="eastAsia"/>
          <w:color w:val="000000"/>
          <w:sz w:val="28"/>
          <w:szCs w:val="28"/>
        </w:rPr>
        <w:t>，出站考核优秀并留校参加工作的，奖励合作导师每人</w:t>
      </w:r>
      <w:r w:rsidRPr="00A65282">
        <w:rPr>
          <w:rFonts w:ascii="仿宋_GB2312" w:eastAsia="仿宋_GB2312" w:hAnsi="宋体" w:cs="仿宋_GB2312"/>
          <w:color w:val="000000"/>
          <w:sz w:val="28"/>
          <w:szCs w:val="28"/>
        </w:rPr>
        <w:t>5</w:t>
      </w:r>
      <w:r w:rsidRPr="00A65282">
        <w:rPr>
          <w:rFonts w:ascii="仿宋_GB2312" w:eastAsia="仿宋_GB2312" w:hAnsi="宋体" w:cs="仿宋_GB2312" w:hint="eastAsia"/>
          <w:color w:val="000000"/>
          <w:sz w:val="28"/>
          <w:szCs w:val="28"/>
        </w:rPr>
        <w:t>万元科研经费</w:t>
      </w:r>
      <w:r>
        <w:rPr>
          <w:rFonts w:ascii="仿宋_GB2312" w:eastAsia="仿宋_GB2312" w:hAnsi="宋体" w:cs="仿宋_GB2312" w:hint="eastAsia"/>
          <w:color w:val="000000"/>
          <w:sz w:val="28"/>
          <w:szCs w:val="28"/>
        </w:rPr>
        <w:t>；</w:t>
      </w:r>
    </w:p>
    <w:p w:rsidR="005F6E9B" w:rsidRDefault="005F6E9B" w:rsidP="0056659F">
      <w:pPr>
        <w:spacing w:line="360" w:lineRule="auto"/>
        <w:ind w:firstLineChars="200" w:firstLine="560"/>
        <w:rPr>
          <w:rFonts w:ascii="仿宋_GB2312" w:eastAsia="仿宋_GB2312" w:hAnsi="宋体"/>
          <w:color w:val="000000"/>
          <w:sz w:val="28"/>
          <w:szCs w:val="28"/>
        </w:rPr>
      </w:pPr>
      <w:r w:rsidRPr="00A65282">
        <w:rPr>
          <w:rFonts w:ascii="仿宋_GB2312" w:eastAsia="仿宋_GB2312" w:hAnsi="宋体" w:cs="仿宋_GB2312" w:hint="eastAsia"/>
          <w:color w:val="000000"/>
          <w:sz w:val="28"/>
          <w:szCs w:val="28"/>
        </w:rPr>
        <w:lastRenderedPageBreak/>
        <w:t>（</w:t>
      </w:r>
      <w:r>
        <w:rPr>
          <w:rFonts w:ascii="仿宋_GB2312" w:eastAsia="仿宋_GB2312" w:hAnsi="宋体" w:cs="仿宋_GB2312" w:hint="eastAsia"/>
          <w:color w:val="000000"/>
          <w:sz w:val="28"/>
          <w:szCs w:val="28"/>
        </w:rPr>
        <w:t>三</w:t>
      </w:r>
      <w:r w:rsidRPr="00A65282">
        <w:rPr>
          <w:rFonts w:ascii="仿宋_GB2312" w:eastAsia="仿宋_GB2312" w:hAnsi="宋体" w:cs="仿宋_GB2312" w:hint="eastAsia"/>
          <w:color w:val="000000"/>
          <w:sz w:val="28"/>
          <w:szCs w:val="28"/>
        </w:rPr>
        <w:t>）合作导师所招收的博士后研究人员连续两届有博士后研究人员出站考核不合格的，暂停其招收资格一年；连续三届有博士后研究人员出站考核不合格的，暂停其招收资格两年。</w:t>
      </w:r>
    </w:p>
    <w:p w:rsidR="005F6E9B" w:rsidRPr="00875BC3" w:rsidRDefault="005F6E9B" w:rsidP="002217AB">
      <w:pPr>
        <w:spacing w:line="360" w:lineRule="auto"/>
        <w:ind w:firstLineChars="200" w:firstLine="562"/>
        <w:rPr>
          <w:rFonts w:ascii="仿宋_GB2312" w:eastAsia="仿宋_GB2312" w:hAnsi="宋体"/>
          <w:b/>
          <w:bCs/>
          <w:color w:val="000000"/>
          <w:sz w:val="28"/>
          <w:szCs w:val="28"/>
        </w:rPr>
      </w:pPr>
      <w:r w:rsidRPr="00875BC3">
        <w:rPr>
          <w:rFonts w:ascii="仿宋_GB2312" w:eastAsia="仿宋_GB2312" w:hAnsi="宋体" w:cs="仿宋_GB2312" w:hint="eastAsia"/>
          <w:b/>
          <w:bCs/>
          <w:color w:val="000000"/>
          <w:kern w:val="0"/>
          <w:sz w:val="28"/>
          <w:szCs w:val="28"/>
        </w:rPr>
        <w:t>四、本办法自公布之日起实施，学校原《浙江财经大学博士后合作导师管理规定（试行）》（浙财大〔</w:t>
      </w:r>
      <w:r w:rsidRPr="00875BC3">
        <w:rPr>
          <w:rFonts w:ascii="仿宋_GB2312" w:eastAsia="仿宋_GB2312" w:hAnsi="宋体" w:cs="仿宋_GB2312"/>
          <w:b/>
          <w:bCs/>
          <w:color w:val="000000"/>
          <w:kern w:val="0"/>
          <w:sz w:val="28"/>
          <w:szCs w:val="28"/>
        </w:rPr>
        <w:t>2014</w:t>
      </w:r>
      <w:r w:rsidRPr="00875BC3">
        <w:rPr>
          <w:rFonts w:ascii="仿宋_GB2312" w:eastAsia="仿宋_GB2312" w:hAnsi="宋体" w:cs="仿宋_GB2312" w:hint="eastAsia"/>
          <w:b/>
          <w:bCs/>
          <w:color w:val="000000"/>
          <w:kern w:val="0"/>
          <w:sz w:val="28"/>
          <w:szCs w:val="28"/>
        </w:rPr>
        <w:t>〕</w:t>
      </w:r>
      <w:r w:rsidRPr="00875BC3">
        <w:rPr>
          <w:rFonts w:ascii="仿宋_GB2312" w:eastAsia="仿宋_GB2312" w:hAnsi="宋体" w:cs="仿宋_GB2312"/>
          <w:b/>
          <w:bCs/>
          <w:color w:val="000000"/>
          <w:kern w:val="0"/>
          <w:sz w:val="28"/>
          <w:szCs w:val="28"/>
        </w:rPr>
        <w:t>226</w:t>
      </w:r>
      <w:r w:rsidRPr="00875BC3">
        <w:rPr>
          <w:rFonts w:ascii="仿宋_GB2312" w:eastAsia="仿宋_GB2312" w:hAnsi="宋体" w:cs="仿宋_GB2312" w:hint="eastAsia"/>
          <w:b/>
          <w:bCs/>
          <w:color w:val="000000"/>
          <w:kern w:val="0"/>
          <w:sz w:val="28"/>
          <w:szCs w:val="28"/>
        </w:rPr>
        <w:t>号）同时废止。本办法由人事处负责解释。</w:t>
      </w:r>
    </w:p>
    <w:sectPr w:rsidR="005F6E9B" w:rsidRPr="00875BC3" w:rsidSect="00B847E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608" w:rsidRDefault="00321608" w:rsidP="00A65282">
      <w:r>
        <w:separator/>
      </w:r>
    </w:p>
  </w:endnote>
  <w:endnote w:type="continuationSeparator" w:id="1">
    <w:p w:rsidR="00321608" w:rsidRDefault="00321608" w:rsidP="00A652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E9B" w:rsidRDefault="002217AB" w:rsidP="00357422">
    <w:pPr>
      <w:pStyle w:val="a5"/>
      <w:framePr w:wrap="auto" w:vAnchor="text" w:hAnchor="margin" w:xAlign="center" w:y="1"/>
      <w:rPr>
        <w:rStyle w:val="a6"/>
      </w:rPr>
    </w:pPr>
    <w:r>
      <w:rPr>
        <w:rStyle w:val="a6"/>
      </w:rPr>
      <w:fldChar w:fldCharType="begin"/>
    </w:r>
    <w:r w:rsidR="005F6E9B">
      <w:rPr>
        <w:rStyle w:val="a6"/>
      </w:rPr>
      <w:instrText xml:space="preserve">PAGE  </w:instrText>
    </w:r>
    <w:r>
      <w:rPr>
        <w:rStyle w:val="a6"/>
      </w:rPr>
      <w:fldChar w:fldCharType="separate"/>
    </w:r>
    <w:r w:rsidR="0056659F">
      <w:rPr>
        <w:rStyle w:val="a6"/>
        <w:noProof/>
      </w:rPr>
      <w:t>1</w:t>
    </w:r>
    <w:r>
      <w:rPr>
        <w:rStyle w:val="a6"/>
      </w:rPr>
      <w:fldChar w:fldCharType="end"/>
    </w:r>
  </w:p>
  <w:p w:rsidR="005F6E9B" w:rsidRDefault="005F6E9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608" w:rsidRDefault="00321608" w:rsidP="00A65282">
      <w:r>
        <w:separator/>
      </w:r>
    </w:p>
  </w:footnote>
  <w:footnote w:type="continuationSeparator" w:id="1">
    <w:p w:rsidR="00321608" w:rsidRDefault="00321608" w:rsidP="00A652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509AE"/>
    <w:multiLevelType w:val="hybridMultilevel"/>
    <w:tmpl w:val="510CCB80"/>
    <w:lvl w:ilvl="0" w:tplc="D59A3276">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420A4E07"/>
    <w:multiLevelType w:val="hybridMultilevel"/>
    <w:tmpl w:val="B82ABEA0"/>
    <w:lvl w:ilvl="0" w:tplc="39EEECE6">
      <w:start w:val="1"/>
      <w:numFmt w:val="decimal"/>
      <w:lvlText w:val="%1."/>
      <w:lvlJc w:val="left"/>
      <w:pPr>
        <w:ind w:left="1125" w:hanging="705"/>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48E5"/>
    <w:rsid w:val="00022C4E"/>
    <w:rsid w:val="00034A3C"/>
    <w:rsid w:val="00074CC3"/>
    <w:rsid w:val="000E0620"/>
    <w:rsid w:val="000E232A"/>
    <w:rsid w:val="00147726"/>
    <w:rsid w:val="00162B32"/>
    <w:rsid w:val="001677CD"/>
    <w:rsid w:val="002217AB"/>
    <w:rsid w:val="00242E74"/>
    <w:rsid w:val="00255A40"/>
    <w:rsid w:val="00272B6A"/>
    <w:rsid w:val="002A76FD"/>
    <w:rsid w:val="002D5A6F"/>
    <w:rsid w:val="00321608"/>
    <w:rsid w:val="00357422"/>
    <w:rsid w:val="003A1592"/>
    <w:rsid w:val="003D2805"/>
    <w:rsid w:val="004348E5"/>
    <w:rsid w:val="00450C13"/>
    <w:rsid w:val="0046190D"/>
    <w:rsid w:val="004D5720"/>
    <w:rsid w:val="0053038B"/>
    <w:rsid w:val="00551F1A"/>
    <w:rsid w:val="0056659F"/>
    <w:rsid w:val="00590CE2"/>
    <w:rsid w:val="005F6E9B"/>
    <w:rsid w:val="00757BA6"/>
    <w:rsid w:val="00875BC3"/>
    <w:rsid w:val="008A6194"/>
    <w:rsid w:val="008C7FAF"/>
    <w:rsid w:val="009463A4"/>
    <w:rsid w:val="009F3B0E"/>
    <w:rsid w:val="00A268AE"/>
    <w:rsid w:val="00A65282"/>
    <w:rsid w:val="00B847ED"/>
    <w:rsid w:val="00B9416A"/>
    <w:rsid w:val="00BB7026"/>
    <w:rsid w:val="00BD15F5"/>
    <w:rsid w:val="00BE1C79"/>
    <w:rsid w:val="00C23DFD"/>
    <w:rsid w:val="00E455D8"/>
    <w:rsid w:val="00E6693E"/>
    <w:rsid w:val="00EA6D44"/>
    <w:rsid w:val="00EB5E2E"/>
    <w:rsid w:val="00EF58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7E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E6693E"/>
    <w:rPr>
      <w:sz w:val="18"/>
      <w:szCs w:val="18"/>
    </w:rPr>
  </w:style>
  <w:style w:type="character" w:customStyle="1" w:styleId="Char">
    <w:name w:val="批注框文本 Char"/>
    <w:basedOn w:val="a0"/>
    <w:link w:val="a3"/>
    <w:uiPriority w:val="99"/>
    <w:semiHidden/>
    <w:rsid w:val="00934053"/>
    <w:rPr>
      <w:sz w:val="0"/>
      <w:szCs w:val="0"/>
    </w:rPr>
  </w:style>
  <w:style w:type="paragraph" w:styleId="a4">
    <w:name w:val="header"/>
    <w:basedOn w:val="a"/>
    <w:link w:val="Char0"/>
    <w:uiPriority w:val="99"/>
    <w:rsid w:val="00A6528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A65282"/>
    <w:rPr>
      <w:kern w:val="2"/>
      <w:sz w:val="18"/>
      <w:szCs w:val="18"/>
    </w:rPr>
  </w:style>
  <w:style w:type="paragraph" w:styleId="a5">
    <w:name w:val="footer"/>
    <w:basedOn w:val="a"/>
    <w:link w:val="Char1"/>
    <w:uiPriority w:val="99"/>
    <w:rsid w:val="00A65282"/>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A65282"/>
    <w:rPr>
      <w:kern w:val="2"/>
      <w:sz w:val="18"/>
      <w:szCs w:val="18"/>
    </w:rPr>
  </w:style>
  <w:style w:type="character" w:styleId="a6">
    <w:name w:val="page number"/>
    <w:basedOn w:val="a0"/>
    <w:uiPriority w:val="99"/>
    <w:rsid w:val="00EF58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317</Words>
  <Characters>318</Characters>
  <Application>Microsoft Office Word</Application>
  <DocSecurity>0</DocSecurity>
  <Lines>12</Lines>
  <Paragraphs>5</Paragraphs>
  <ScaleCrop>false</ScaleCrop>
  <Company>www.ftpdown.com</Company>
  <LinksUpToDate>false</LinksUpToDate>
  <CharactersWithSpaces>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浙江财经大学博士后合作导师管理规定</dc:title>
  <dc:subject/>
  <dc:creator>FtpDown</dc:creator>
  <cp:keywords/>
  <dc:description/>
  <cp:lastModifiedBy>番茄花园</cp:lastModifiedBy>
  <cp:revision>9</cp:revision>
  <cp:lastPrinted>2016-03-11T06:56:00Z</cp:lastPrinted>
  <dcterms:created xsi:type="dcterms:W3CDTF">2016-03-11T05:16:00Z</dcterms:created>
  <dcterms:modified xsi:type="dcterms:W3CDTF">2016-03-15T01:18:00Z</dcterms:modified>
</cp:coreProperties>
</file>